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AB40" w14:textId="707C30E0" w:rsidR="00F36268" w:rsidRDefault="005227FA">
      <w:pPr>
        <w:pStyle w:val="10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="00D1256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.</w:t>
      </w:r>
      <w:r w:rsidR="00D1256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1</w:t>
      </w:r>
      <w:r w:rsidR="00C65A16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.</w:t>
      </w:r>
      <w:r w:rsidR="00D1256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«</w:t>
      </w:r>
      <w:r w:rsidR="00D12568" w:rsidRPr="00D1256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Математи</w:t>
      </w:r>
      <w:r w:rsidR="00D12568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ка и механика</w:t>
      </w: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»</w:t>
      </w:r>
    </w:p>
    <w:p w14:paraId="7DAC8F1D" w14:textId="77777777" w:rsidR="00F36268" w:rsidRDefault="00F36268">
      <w:pPr>
        <w:rPr>
          <w:b/>
          <w:bCs/>
          <w:shd w:val="clear" w:color="auto" w:fill="FFFFFF"/>
        </w:rPr>
      </w:pPr>
    </w:p>
    <w:p w14:paraId="398E6997" w14:textId="676BEB65" w:rsidR="007D5404" w:rsidRDefault="007D5404" w:rsidP="007D5404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rgpujfrla3zg"/>
      <w:bookmarkEnd w:id="1"/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5E0BFB" w:rsidRPr="005E0BFB">
        <w:rPr>
          <w:rFonts w:ascii="Times New Roman" w:hAnsi="Times New Roman"/>
          <w:b/>
          <w:bCs/>
          <w:i/>
          <w:iCs/>
          <w:sz w:val="28"/>
          <w:szCs w:val="28"/>
        </w:rPr>
        <w:t>1.1</w:t>
      </w:r>
      <w:r w:rsidR="00C65A1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5E0BFB" w:rsidRPr="005E0BFB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«Математика и механика»</w:t>
      </w:r>
      <w:r w:rsidR="005E0BF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174C"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</w:t>
      </w:r>
      <w:r>
        <w:rPr>
          <w:rFonts w:ascii="Times New Roman" w:hAnsi="Times New Roman"/>
          <w:sz w:val="28"/>
          <w:szCs w:val="28"/>
        </w:rPr>
        <w:t>.</w:t>
      </w:r>
    </w:p>
    <w:p w14:paraId="2C90D093" w14:textId="5D491C44" w:rsidR="006E2B2C" w:rsidRDefault="006E2B2C" w:rsidP="006E2B2C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4D411E" w:rsidRPr="00FE047E">
        <w:rPr>
          <w:rFonts w:ascii="Times New Roman" w:hAnsi="Times New Roman"/>
          <w:sz w:val="28"/>
          <w:szCs w:val="28"/>
        </w:rPr>
        <w:t xml:space="preserve">на основе </w:t>
      </w:r>
      <w:r w:rsidR="004D411E">
        <w:rPr>
          <w:rFonts w:ascii="Times New Roman" w:hAnsi="Times New Roman"/>
          <w:sz w:val="28"/>
          <w:szCs w:val="28"/>
        </w:rPr>
        <w:t>т</w:t>
      </w:r>
      <w:r w:rsidR="004D411E" w:rsidRPr="00FE047E">
        <w:rPr>
          <w:rFonts w:ascii="Times New Roman" w:hAnsi="Times New Roman"/>
          <w:sz w:val="28"/>
          <w:szCs w:val="28"/>
        </w:rPr>
        <w:t>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4A9E6BEC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3A9F1261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0390DE52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67ADA36A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0B62F91F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EFBC50B" w14:textId="77777777" w:rsidR="006E2B2C" w:rsidRDefault="006E2B2C" w:rsidP="006E2B2C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7D85D1B5" w14:textId="77777777" w:rsidR="007D5404" w:rsidRDefault="007D5404" w:rsidP="007D5404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B1341" w14:textId="77777777" w:rsidR="007D5404" w:rsidRDefault="007D5404" w:rsidP="007D5404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E59E3" w14:textId="77777777" w:rsidR="007D5404" w:rsidRDefault="007D5404" w:rsidP="007D5404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B38EC" w14:textId="77777777" w:rsidR="007D5404" w:rsidRDefault="007D5404" w:rsidP="007D5404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CAC0E" w14:textId="77777777" w:rsidR="007D5404" w:rsidRDefault="007D5404" w:rsidP="00C532A9">
      <w:pPr>
        <w:pStyle w:val="10"/>
        <w:keepNext w:val="0"/>
        <w:keepLines w:val="0"/>
        <w:spacing w:before="20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64B672" w14:textId="77777777" w:rsidR="007D5404" w:rsidRDefault="007D5404" w:rsidP="00C532A9">
      <w:pPr>
        <w:pStyle w:val="10"/>
        <w:keepNext w:val="0"/>
        <w:keepLines w:val="0"/>
        <w:spacing w:before="20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20B6E8" w14:textId="7F783F28" w:rsidR="00C532A9" w:rsidRDefault="00F917B7" w:rsidP="00C532A9">
      <w:pPr>
        <w:pStyle w:val="10"/>
        <w:keepNext w:val="0"/>
        <w:keepLines w:val="0"/>
        <w:spacing w:before="20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Научная специальность</w:t>
      </w:r>
      <w:r w:rsidR="00C532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32A9" w:rsidRPr="00C532A9">
        <w:rPr>
          <w:rFonts w:ascii="Times New Roman" w:hAnsi="Times New Roman"/>
          <w:b/>
          <w:bCs/>
          <w:sz w:val="28"/>
          <w:szCs w:val="28"/>
        </w:rPr>
        <w:t>1.</w:t>
      </w:r>
      <w:r w:rsidR="003F7299" w:rsidRPr="003F7299">
        <w:rPr>
          <w:rFonts w:ascii="Times New Roman" w:hAnsi="Times New Roman"/>
          <w:b/>
          <w:bCs/>
          <w:sz w:val="28"/>
          <w:szCs w:val="28"/>
        </w:rPr>
        <w:t>1</w:t>
      </w:r>
      <w:r w:rsidR="00C532A9" w:rsidRPr="00C532A9">
        <w:rPr>
          <w:rFonts w:ascii="Times New Roman" w:hAnsi="Times New Roman"/>
          <w:b/>
          <w:bCs/>
          <w:sz w:val="28"/>
          <w:szCs w:val="28"/>
        </w:rPr>
        <w:t>.</w:t>
      </w:r>
      <w:r w:rsidR="003F7299" w:rsidRPr="003F7299">
        <w:rPr>
          <w:rFonts w:ascii="Times New Roman" w:hAnsi="Times New Roman"/>
          <w:b/>
          <w:bCs/>
          <w:sz w:val="28"/>
          <w:szCs w:val="28"/>
        </w:rPr>
        <w:t>8</w:t>
      </w:r>
      <w:r w:rsidR="001B2CBF">
        <w:rPr>
          <w:rFonts w:ascii="Times New Roman" w:hAnsi="Times New Roman"/>
          <w:b/>
          <w:bCs/>
          <w:sz w:val="28"/>
          <w:szCs w:val="28"/>
        </w:rPr>
        <w:t>.</w:t>
      </w:r>
      <w:r w:rsidR="00C532A9" w:rsidRPr="00C532A9">
        <w:rPr>
          <w:rFonts w:ascii="Times New Roman" w:hAnsi="Times New Roman"/>
          <w:b/>
          <w:bCs/>
          <w:sz w:val="28"/>
          <w:szCs w:val="28"/>
        </w:rPr>
        <w:t xml:space="preserve"> «Механика деформируемого твердого тела»</w:t>
      </w:r>
    </w:p>
    <w:p w14:paraId="47A4D129" w14:textId="5D8BF1F2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Понятие сплошного тела. Гипотеза сплошности. Физически и геометрически малый элемент. Деформация элемента сплошной среды. Два способа описания деформации сплошного тела. Координаты Эйлера и координаты Лагранжа. Переход от Эйлерова описания к </w:t>
      </w:r>
      <w:proofErr w:type="spellStart"/>
      <w:r w:rsidRPr="00EB7FAE">
        <w:rPr>
          <w:color w:val="000000"/>
          <w:sz w:val="28"/>
          <w:szCs w:val="28"/>
        </w:rPr>
        <w:t>Лагранжеву</w:t>
      </w:r>
      <w:proofErr w:type="spellEnd"/>
      <w:r w:rsidRPr="00EB7FAE">
        <w:rPr>
          <w:color w:val="000000"/>
          <w:sz w:val="28"/>
          <w:szCs w:val="28"/>
        </w:rPr>
        <w:t xml:space="preserve"> и обратно.</w:t>
      </w:r>
    </w:p>
    <w:p w14:paraId="18F8E957" w14:textId="5C415B93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Тензор деформации Коши-Грина. Геометрический смысл компонент тензора деформации Грина. Тензор деформации </w:t>
      </w:r>
      <w:proofErr w:type="spellStart"/>
      <w:r w:rsidRPr="00EB7FAE">
        <w:rPr>
          <w:color w:val="000000"/>
          <w:sz w:val="28"/>
          <w:szCs w:val="28"/>
        </w:rPr>
        <w:t>Альманси</w:t>
      </w:r>
      <w:proofErr w:type="spellEnd"/>
      <w:r w:rsidRPr="00EB7FAE">
        <w:rPr>
          <w:color w:val="000000"/>
          <w:sz w:val="28"/>
          <w:szCs w:val="28"/>
        </w:rPr>
        <w:t xml:space="preserve">. Геометрический смысл компонент тензора деформации </w:t>
      </w:r>
      <w:proofErr w:type="spellStart"/>
      <w:r w:rsidRPr="00EB7FAE">
        <w:rPr>
          <w:color w:val="000000"/>
          <w:sz w:val="28"/>
          <w:szCs w:val="28"/>
        </w:rPr>
        <w:t>Альманси</w:t>
      </w:r>
      <w:proofErr w:type="spellEnd"/>
      <w:r w:rsidRPr="00EB7FAE">
        <w:rPr>
          <w:color w:val="000000"/>
          <w:sz w:val="28"/>
          <w:szCs w:val="28"/>
        </w:rPr>
        <w:t>. Условия совместности деформаций. Формулировка условий совместности деформаций в цилиндрической и сферической системе координат. Вы</w:t>
      </w:r>
      <w:r w:rsidRPr="00EB7FAE">
        <w:rPr>
          <w:color w:val="000000"/>
          <w:sz w:val="28"/>
          <w:szCs w:val="28"/>
        </w:rPr>
        <w:softHyphen/>
        <w:t xml:space="preserve">числение тензора малых деформаций по заданному полю перемещений. Формулы </w:t>
      </w:r>
      <w:proofErr w:type="spellStart"/>
      <w:r w:rsidRPr="00EB7FAE">
        <w:rPr>
          <w:color w:val="000000"/>
          <w:sz w:val="28"/>
          <w:szCs w:val="28"/>
        </w:rPr>
        <w:t>Чезаро</w:t>
      </w:r>
      <w:proofErr w:type="spellEnd"/>
      <w:r w:rsidRPr="00EB7FAE">
        <w:rPr>
          <w:color w:val="000000"/>
          <w:sz w:val="28"/>
          <w:szCs w:val="28"/>
        </w:rPr>
        <w:t>.</w:t>
      </w:r>
    </w:p>
    <w:p w14:paraId="201C611C" w14:textId="12ED8482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Классификация сил в механике сплошных сред: внешние и внутренние силы, массовые и поверхностные силы. Тензоры напряжений Коши, </w:t>
      </w:r>
      <w:proofErr w:type="spellStart"/>
      <w:r w:rsidRPr="00EB7FAE">
        <w:rPr>
          <w:color w:val="000000"/>
          <w:sz w:val="28"/>
          <w:szCs w:val="28"/>
        </w:rPr>
        <w:t>Пиолы</w:t>
      </w:r>
      <w:proofErr w:type="spellEnd"/>
      <w:r w:rsidRPr="00EB7FAE">
        <w:rPr>
          <w:color w:val="000000"/>
          <w:sz w:val="28"/>
          <w:szCs w:val="28"/>
        </w:rPr>
        <w:t xml:space="preserve"> и Кирхгофа.</w:t>
      </w:r>
    </w:p>
    <w:p w14:paraId="7BC632FB" w14:textId="1784C056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Законы сохранения механики сплошных сред: уравнения баланса массы, импульса, момента импульса, кинетической, потенциальной и полной энергии.</w:t>
      </w:r>
    </w:p>
    <w:p w14:paraId="7D9EAFC8" w14:textId="4FD41DB6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Термодинамические процессы и циклы. Термодинамические параметры состояния. Понятия о работе, теплоте, внутренней энергии, температуре и энтропии. Первый и второй законы термодинамики. Термодинамические потенциалы состояния.</w:t>
      </w:r>
    </w:p>
    <w:p w14:paraId="4BCA7B60" w14:textId="7B56241F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Физическая размерность. Анализ размерностей и П-теорема. Автомодельные решения. Примеры.</w:t>
      </w:r>
    </w:p>
    <w:p w14:paraId="31EBE51F" w14:textId="58C34CD8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Упругое деформирование твердых тел. Упругий потенциал и энергия деформации. Линейно упругое тело Гука. Понятие об анизотропии упругого тела. Тензор упругих модулей. Частные случаи анизотропии: </w:t>
      </w:r>
      <w:r w:rsidRPr="00EB7FAE">
        <w:rPr>
          <w:color w:val="000000"/>
          <w:sz w:val="28"/>
          <w:szCs w:val="28"/>
        </w:rPr>
        <w:lastRenderedPageBreak/>
        <w:t>трансверсально изотропное и ортотропное упругое тело. Упругие модули изотропного тела.</w:t>
      </w:r>
    </w:p>
    <w:p w14:paraId="41C1A888" w14:textId="45A1C85D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Полная система уравнений теории упругости. Уравнения Ламе в перемещениях. Уравнения Бельтрами-Митчелла в напряжениях. Граничные условия. Постановка краевых задач математической теории упругости. Основные краевые задачи. Принцип Сен-Венана.</w:t>
      </w:r>
    </w:p>
    <w:p w14:paraId="3D6B542E" w14:textId="406CCF6E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Общие теоремы теории упругости: теорема </w:t>
      </w:r>
      <w:proofErr w:type="spellStart"/>
      <w:r w:rsidRPr="00EB7FAE">
        <w:rPr>
          <w:color w:val="000000"/>
          <w:sz w:val="28"/>
          <w:szCs w:val="28"/>
        </w:rPr>
        <w:t>Клапейрона</w:t>
      </w:r>
      <w:proofErr w:type="spellEnd"/>
      <w:r w:rsidRPr="00EB7FAE">
        <w:rPr>
          <w:color w:val="000000"/>
          <w:sz w:val="28"/>
          <w:szCs w:val="28"/>
        </w:rPr>
        <w:t xml:space="preserve">, тождество взаимности, теорема единственности. Основные энергетические функционалы линейной теории упругости. Вариационные принципы теории упругости: принцип минимума полной потенциальной энергии, принцип минимума дополнительной энергии. Теоремы </w:t>
      </w:r>
      <w:proofErr w:type="spellStart"/>
      <w:r w:rsidRPr="00EB7FAE">
        <w:rPr>
          <w:color w:val="000000"/>
          <w:sz w:val="28"/>
          <w:szCs w:val="28"/>
        </w:rPr>
        <w:t>Кастильяно</w:t>
      </w:r>
      <w:proofErr w:type="spellEnd"/>
      <w:r w:rsidRPr="00EB7FAE">
        <w:rPr>
          <w:color w:val="000000"/>
          <w:sz w:val="28"/>
          <w:szCs w:val="28"/>
        </w:rPr>
        <w:t>. Теорема Бетти. Примеры.</w:t>
      </w:r>
    </w:p>
    <w:p w14:paraId="59893C54" w14:textId="7B0E555C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Действие сосредоточенной силы в неограниченной упругой среде. Тензор Грина. Граничные интегральные представления напряжений и перемещений. Формула </w:t>
      </w:r>
      <w:proofErr w:type="spellStart"/>
      <w:r w:rsidRPr="00EB7FAE">
        <w:rPr>
          <w:color w:val="000000"/>
          <w:sz w:val="28"/>
          <w:szCs w:val="28"/>
        </w:rPr>
        <w:t>Сомильяны</w:t>
      </w:r>
      <w:proofErr w:type="spellEnd"/>
      <w:r w:rsidRPr="00EB7FAE">
        <w:rPr>
          <w:color w:val="000000"/>
          <w:sz w:val="28"/>
          <w:szCs w:val="28"/>
        </w:rPr>
        <w:t xml:space="preserve">. Общие представления решений уравнений теории упругости: </w:t>
      </w:r>
      <w:proofErr w:type="spellStart"/>
      <w:r w:rsidRPr="00EB7FAE">
        <w:rPr>
          <w:color w:val="000000"/>
          <w:sz w:val="28"/>
          <w:szCs w:val="28"/>
        </w:rPr>
        <w:t>представле-ние</w:t>
      </w:r>
      <w:proofErr w:type="spellEnd"/>
      <w:r w:rsidRPr="00EB7FAE">
        <w:rPr>
          <w:color w:val="000000"/>
          <w:sz w:val="28"/>
          <w:szCs w:val="28"/>
        </w:rPr>
        <w:t xml:space="preserve"> Кельвина, представление Галеркина и представление </w:t>
      </w:r>
      <w:proofErr w:type="spellStart"/>
      <w:r w:rsidRPr="00EB7FAE">
        <w:rPr>
          <w:color w:val="000000"/>
          <w:sz w:val="28"/>
          <w:szCs w:val="28"/>
        </w:rPr>
        <w:t>Папковича-Нейбера</w:t>
      </w:r>
      <w:proofErr w:type="spellEnd"/>
      <w:r w:rsidRPr="00EB7FAE">
        <w:rPr>
          <w:color w:val="000000"/>
          <w:sz w:val="28"/>
          <w:szCs w:val="28"/>
        </w:rPr>
        <w:t xml:space="preserve">. Нормальная нагрузка на границе полупространства (задача </w:t>
      </w:r>
      <w:proofErr w:type="spellStart"/>
      <w:r w:rsidRPr="00EB7FAE">
        <w:rPr>
          <w:color w:val="000000"/>
          <w:sz w:val="28"/>
          <w:szCs w:val="28"/>
        </w:rPr>
        <w:t>Буссинеска</w:t>
      </w:r>
      <w:proofErr w:type="spellEnd"/>
      <w:r w:rsidRPr="00EB7FAE">
        <w:rPr>
          <w:color w:val="000000"/>
          <w:sz w:val="28"/>
          <w:szCs w:val="28"/>
        </w:rPr>
        <w:t xml:space="preserve">). Касательная нагрузка на границе полупространства (задача </w:t>
      </w:r>
      <w:proofErr w:type="spellStart"/>
      <w:r w:rsidRPr="00EB7FAE">
        <w:rPr>
          <w:color w:val="000000"/>
          <w:sz w:val="28"/>
          <w:szCs w:val="28"/>
        </w:rPr>
        <w:t>Черрути</w:t>
      </w:r>
      <w:proofErr w:type="spellEnd"/>
      <w:r w:rsidRPr="00EB7FAE">
        <w:rPr>
          <w:color w:val="000000"/>
          <w:sz w:val="28"/>
          <w:szCs w:val="28"/>
        </w:rPr>
        <w:t>).</w:t>
      </w:r>
    </w:p>
    <w:p w14:paraId="00DC57A2" w14:textId="5530C5D7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Задача о действии штампа с плоским основанием на полуплоскость. Контактная задача Герца.</w:t>
      </w:r>
    </w:p>
    <w:p w14:paraId="201A91A8" w14:textId="0D48DC64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Пластическое деформирование твердых тел. Предел текучести. Упрочнение. Остаточные деформации. Истинная и условная деформация. Идеальная пластичность. Физические механизмы пластического течения. Понятие о дислокациях. Локализация пластических деформаций. Линии </w:t>
      </w:r>
      <w:proofErr w:type="spellStart"/>
      <w:r w:rsidRPr="00EB7FAE">
        <w:rPr>
          <w:color w:val="000000"/>
          <w:sz w:val="28"/>
          <w:szCs w:val="28"/>
        </w:rPr>
        <w:t>Людерса</w:t>
      </w:r>
      <w:proofErr w:type="spellEnd"/>
      <w:r w:rsidRPr="00EB7FAE">
        <w:rPr>
          <w:color w:val="000000"/>
          <w:sz w:val="28"/>
          <w:szCs w:val="28"/>
        </w:rPr>
        <w:t>-Чернова.</w:t>
      </w:r>
    </w:p>
    <w:p w14:paraId="3652AF87" w14:textId="34EB9E10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Идеальное упругопластическое тело. Идеальное жесткопластическое тело. Пространство напряжений. Критерий текучести и поверхность текучести. Критерии Треска и Мизеса. Пространство главных напряжений. </w:t>
      </w:r>
      <w:r w:rsidRPr="00EB7FAE">
        <w:rPr>
          <w:color w:val="000000"/>
          <w:sz w:val="28"/>
          <w:szCs w:val="28"/>
        </w:rPr>
        <w:lastRenderedPageBreak/>
        <w:t>Геометрическая интерпретация условий текучести. Условие полной пластичности. Влияние среднего напряжения.</w:t>
      </w:r>
    </w:p>
    <w:p w14:paraId="1D2496B0" w14:textId="7F479B35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Упрочняющееся упругопластическое тело. Упрочняющееся жесткопластическое тело. Функция нагружения, поверхность нагружения. Параметры упрочнения.</w:t>
      </w:r>
    </w:p>
    <w:p w14:paraId="1FB5A86B" w14:textId="4EC5749A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Понятие о ползучести и релаксации. Кривые ползучести и релаксации. Простейшие модели линейно вязкоупругих сред: модель Максвелла, модель Фохта, модель Томсона. Время релаксации. Время запаздывания.</w:t>
      </w:r>
    </w:p>
    <w:p w14:paraId="170AD97B" w14:textId="682304A0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Определяющие соотношения теории </w:t>
      </w:r>
      <w:proofErr w:type="spellStart"/>
      <w:r w:rsidRPr="00EB7FAE">
        <w:rPr>
          <w:color w:val="000000"/>
          <w:sz w:val="28"/>
          <w:szCs w:val="28"/>
        </w:rPr>
        <w:t>вязкоупругости</w:t>
      </w:r>
      <w:proofErr w:type="spellEnd"/>
      <w:r w:rsidRPr="00EB7FAE">
        <w:rPr>
          <w:color w:val="000000"/>
          <w:sz w:val="28"/>
          <w:szCs w:val="28"/>
        </w:rPr>
        <w:t>. Ядра ползучести и релаксации. Непрерывные ядра и ядра со слабой особенностью. Термодинамические ограничения на выбор ядер ползучести и релаксации.</w:t>
      </w:r>
    </w:p>
    <w:p w14:paraId="1645F789" w14:textId="2B4A0959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Формулировка краевых задач теории </w:t>
      </w:r>
      <w:proofErr w:type="spellStart"/>
      <w:r w:rsidRPr="00EB7FAE">
        <w:rPr>
          <w:color w:val="000000"/>
          <w:sz w:val="28"/>
          <w:szCs w:val="28"/>
        </w:rPr>
        <w:t>вязкоупругости</w:t>
      </w:r>
      <w:proofErr w:type="spellEnd"/>
      <w:r w:rsidRPr="00EB7FAE">
        <w:rPr>
          <w:color w:val="000000"/>
          <w:sz w:val="28"/>
          <w:szCs w:val="28"/>
        </w:rPr>
        <w:t xml:space="preserve">. Методы решения краевых задач теории </w:t>
      </w:r>
      <w:proofErr w:type="spellStart"/>
      <w:r w:rsidRPr="00EB7FAE">
        <w:rPr>
          <w:color w:val="000000"/>
          <w:sz w:val="28"/>
          <w:szCs w:val="28"/>
        </w:rPr>
        <w:t>вязкоупругости</w:t>
      </w:r>
      <w:proofErr w:type="spellEnd"/>
      <w:r w:rsidRPr="00EB7FAE">
        <w:rPr>
          <w:color w:val="000000"/>
          <w:sz w:val="28"/>
          <w:szCs w:val="28"/>
        </w:rPr>
        <w:t>: принцип соответствия Вольтерры, применение интегрального преобразования Лапласа, численные методы. Теорема единственности.</w:t>
      </w:r>
    </w:p>
    <w:p w14:paraId="153610EC" w14:textId="5CC57E05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Определяющие соотношения нелинейной теории </w:t>
      </w:r>
      <w:proofErr w:type="spellStart"/>
      <w:r w:rsidRPr="00EB7FAE">
        <w:rPr>
          <w:color w:val="000000"/>
          <w:sz w:val="28"/>
          <w:szCs w:val="28"/>
        </w:rPr>
        <w:t>вязкоупругости</w:t>
      </w:r>
      <w:proofErr w:type="spellEnd"/>
      <w:r w:rsidRPr="00EB7FAE">
        <w:rPr>
          <w:color w:val="000000"/>
          <w:sz w:val="28"/>
          <w:szCs w:val="28"/>
        </w:rPr>
        <w:t>. Разложение Вольтерры-Фреше. Упрощенные одномерные модели.</w:t>
      </w:r>
    </w:p>
    <w:p w14:paraId="5633F284" w14:textId="6CFC36C6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Понятие о разрушении и прочности тел. Общие закономерности и основные типы разрушения. Концентраторы напряжений. Коэффициент концентрации напряжений: растяжение упругой полуплоскости с круговым и эллиптическим отверстиями.</w:t>
      </w:r>
    </w:p>
    <w:p w14:paraId="21EBA86B" w14:textId="60132986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Феноменологические теории прочности. Критерии разрушения: деформационный, энергетический, энтропийный. Критерии длительной и усталостной прочности. Расчет прочности по допускаемым напряжениям. Коэффициент запаса прочности.</w:t>
      </w:r>
    </w:p>
    <w:p w14:paraId="68A8CB03" w14:textId="10AB3A06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Двумерные задачи о трещинах в упругом теле. Метод разложения по собственным функциям в задаче о построении асимптотик полей </w:t>
      </w:r>
      <w:r w:rsidRPr="00EB7FAE">
        <w:rPr>
          <w:color w:val="000000"/>
          <w:sz w:val="28"/>
          <w:szCs w:val="28"/>
        </w:rPr>
        <w:lastRenderedPageBreak/>
        <w:t>напряжений и перемещений у вершины трещины в упругом теле. Коэффициент интенсивности напряжений, методы его вычисления и оценки.</w:t>
      </w:r>
    </w:p>
    <w:p w14:paraId="2E81307F" w14:textId="49934A54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Метод конечных разностей. Типичные разностные схемы для параболических, эллиптических и гиперболических уравнений. Метод конечных разностей для дифференциальных уравнений теории упругости.</w:t>
      </w:r>
    </w:p>
    <w:p w14:paraId="2D2E3C06" w14:textId="75D3F100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Вариационный принцип минимума полной потенциальной энергии упругого тела. Методы Релея-Ритца, Бубнова-Галеркина и градиентного спуска в задачах минимизации функционала полной потенциальной энергии.</w:t>
      </w:r>
    </w:p>
    <w:p w14:paraId="61C17B62" w14:textId="6F2A45DA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>Метод конечных элементов в теории упругости. Пределы применимости метода конечных элементов.</w:t>
      </w:r>
    </w:p>
    <w:p w14:paraId="56A74A33" w14:textId="410DBE31" w:rsidR="00C532A9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12622F">
        <w:rPr>
          <w:color w:val="000000"/>
          <w:sz w:val="28"/>
          <w:szCs w:val="28"/>
        </w:rPr>
        <w:t xml:space="preserve">Формула </w:t>
      </w:r>
      <w:proofErr w:type="spellStart"/>
      <w:r w:rsidRPr="0012622F">
        <w:rPr>
          <w:color w:val="000000"/>
          <w:sz w:val="28"/>
          <w:szCs w:val="28"/>
        </w:rPr>
        <w:t>Сомильяны</w:t>
      </w:r>
      <w:proofErr w:type="spellEnd"/>
      <w:r w:rsidRPr="0012622F">
        <w:rPr>
          <w:color w:val="000000"/>
          <w:sz w:val="28"/>
          <w:szCs w:val="28"/>
        </w:rPr>
        <w:t xml:space="preserve"> и метод граничных интегральных уравнений (метод граничных элементов).</w:t>
      </w:r>
    </w:p>
    <w:p w14:paraId="62D6A3FA" w14:textId="0B6DF13A" w:rsidR="00D12568" w:rsidRPr="00EB7FAE" w:rsidRDefault="00C532A9" w:rsidP="00687A6A">
      <w:pPr>
        <w:pStyle w:val="a6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B7FAE">
        <w:rPr>
          <w:color w:val="000000"/>
          <w:sz w:val="28"/>
          <w:szCs w:val="28"/>
        </w:rPr>
        <w:t xml:space="preserve">Понятие дефектов кристаллической структуры: </w:t>
      </w:r>
      <w:proofErr w:type="spellStart"/>
      <w:r w:rsidRPr="00EB7FAE">
        <w:rPr>
          <w:color w:val="000000"/>
          <w:sz w:val="28"/>
          <w:szCs w:val="28"/>
        </w:rPr>
        <w:t>межузельные</w:t>
      </w:r>
      <w:proofErr w:type="spellEnd"/>
      <w:r w:rsidRPr="00EB7FAE">
        <w:rPr>
          <w:color w:val="000000"/>
          <w:sz w:val="28"/>
          <w:szCs w:val="28"/>
        </w:rPr>
        <w:t xml:space="preserve"> атомы, вакансии, дислокации, </w:t>
      </w:r>
      <w:proofErr w:type="spellStart"/>
      <w:r w:rsidRPr="00EB7FAE">
        <w:rPr>
          <w:color w:val="000000"/>
          <w:sz w:val="28"/>
          <w:szCs w:val="28"/>
        </w:rPr>
        <w:t>дисклинации</w:t>
      </w:r>
      <w:proofErr w:type="spellEnd"/>
      <w:r w:rsidRPr="00EB7FAE">
        <w:rPr>
          <w:color w:val="000000"/>
          <w:sz w:val="28"/>
          <w:szCs w:val="28"/>
        </w:rPr>
        <w:t xml:space="preserve">. Прочность идеального кристалла. Дислокации, их типы, вектор </w:t>
      </w:r>
      <w:proofErr w:type="spellStart"/>
      <w:r w:rsidRPr="00EB7FAE">
        <w:rPr>
          <w:color w:val="000000"/>
          <w:sz w:val="28"/>
          <w:szCs w:val="28"/>
        </w:rPr>
        <w:t>Бюргерса</w:t>
      </w:r>
      <w:proofErr w:type="spellEnd"/>
      <w:r w:rsidRPr="00EB7FAE">
        <w:rPr>
          <w:color w:val="000000"/>
          <w:sz w:val="28"/>
          <w:szCs w:val="28"/>
        </w:rPr>
        <w:t xml:space="preserve">, системы скольжения. Зарождение и взаимодействие дислокаций. Сила, действующая на дислокацию (сила </w:t>
      </w:r>
      <w:proofErr w:type="spellStart"/>
      <w:r w:rsidRPr="00EB7FAE">
        <w:rPr>
          <w:color w:val="000000"/>
          <w:sz w:val="28"/>
          <w:szCs w:val="28"/>
        </w:rPr>
        <w:t>Пича</w:t>
      </w:r>
      <w:proofErr w:type="spellEnd"/>
      <w:r w:rsidRPr="00EB7FAE">
        <w:rPr>
          <w:color w:val="000000"/>
          <w:sz w:val="28"/>
          <w:szCs w:val="28"/>
        </w:rPr>
        <w:t>-Келера).</w:t>
      </w:r>
    </w:p>
    <w:sectPr w:rsidR="00D12568" w:rsidRPr="00EB7FAE">
      <w:headerReference w:type="default" r:id="rId8"/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291A" w14:textId="77777777" w:rsidR="00A4482E" w:rsidRDefault="00A4482E">
      <w:pPr>
        <w:spacing w:line="240" w:lineRule="auto"/>
      </w:pPr>
      <w:r>
        <w:separator/>
      </w:r>
    </w:p>
  </w:endnote>
  <w:endnote w:type="continuationSeparator" w:id="0">
    <w:p w14:paraId="3C05EEB1" w14:textId="77777777" w:rsidR="00A4482E" w:rsidRDefault="00A44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012C" w14:textId="77777777" w:rsidR="00F36268" w:rsidRDefault="00F362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859D" w14:textId="77777777" w:rsidR="00A4482E" w:rsidRDefault="00A4482E">
      <w:pPr>
        <w:spacing w:line="240" w:lineRule="auto"/>
      </w:pPr>
      <w:r>
        <w:separator/>
      </w:r>
    </w:p>
  </w:footnote>
  <w:footnote w:type="continuationSeparator" w:id="0">
    <w:p w14:paraId="22560D55" w14:textId="77777777" w:rsidR="00A4482E" w:rsidRDefault="00A44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BEB9" w14:textId="77777777" w:rsidR="00F36268" w:rsidRDefault="00F362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08"/>
    <w:multiLevelType w:val="hybridMultilevel"/>
    <w:tmpl w:val="B35A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E39"/>
    <w:multiLevelType w:val="multilevel"/>
    <w:tmpl w:val="748C84B6"/>
    <w:lvl w:ilvl="0">
      <w:start w:val="1"/>
      <w:numFmt w:val="decimal"/>
      <w:lvlText w:val="%1."/>
      <w:lvlJc w:val="left"/>
      <w:pPr>
        <w:ind w:left="2051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53913D8"/>
    <w:multiLevelType w:val="hybridMultilevel"/>
    <w:tmpl w:val="A75AAD10"/>
    <w:numStyleLink w:val="1"/>
  </w:abstractNum>
  <w:abstractNum w:abstractNumId="3" w15:restartNumberingAfterBreak="0">
    <w:nsid w:val="5ABB0217"/>
    <w:multiLevelType w:val="hybridMultilevel"/>
    <w:tmpl w:val="A75AAD10"/>
    <w:styleLink w:val="1"/>
    <w:lvl w:ilvl="0" w:tplc="B6623F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04482">
      <w:start w:val="1"/>
      <w:numFmt w:val="lowerLetter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020546">
      <w:start w:val="1"/>
      <w:numFmt w:val="lowerRoman"/>
      <w:lvlText w:val="%3."/>
      <w:lvlJc w:val="left"/>
      <w:pPr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E6C10">
      <w:start w:val="1"/>
      <w:numFmt w:val="decimal"/>
      <w:lvlText w:val="%4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C121E">
      <w:start w:val="1"/>
      <w:numFmt w:val="lowerLetter"/>
      <w:lvlText w:val="%5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E728E">
      <w:start w:val="1"/>
      <w:numFmt w:val="lowerRoman"/>
      <w:lvlText w:val="%6."/>
      <w:lvlJc w:val="left"/>
      <w:pPr>
        <w:ind w:left="43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E6EC2">
      <w:start w:val="1"/>
      <w:numFmt w:val="decimal"/>
      <w:lvlText w:val="%7."/>
      <w:lvlJc w:val="left"/>
      <w:pPr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E9418">
      <w:start w:val="1"/>
      <w:numFmt w:val="lowerLetter"/>
      <w:lvlText w:val="%8."/>
      <w:lvlJc w:val="left"/>
      <w:pPr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80CF48">
      <w:start w:val="1"/>
      <w:numFmt w:val="lowerRoman"/>
      <w:lvlText w:val="%9."/>
      <w:lvlJc w:val="left"/>
      <w:pPr>
        <w:ind w:left="653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7E7109"/>
    <w:multiLevelType w:val="multilevel"/>
    <w:tmpl w:val="54C8E8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516383661">
    <w:abstractNumId w:val="3"/>
  </w:num>
  <w:num w:numId="2" w16cid:durableId="598099156">
    <w:abstractNumId w:val="2"/>
  </w:num>
  <w:num w:numId="3" w16cid:durableId="1661809678">
    <w:abstractNumId w:val="4"/>
  </w:num>
  <w:num w:numId="4" w16cid:durableId="404883588">
    <w:abstractNumId w:val="1"/>
  </w:num>
  <w:num w:numId="5" w16cid:durableId="12477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68"/>
    <w:rsid w:val="0012622F"/>
    <w:rsid w:val="001B2CBF"/>
    <w:rsid w:val="001E1D30"/>
    <w:rsid w:val="003967D4"/>
    <w:rsid w:val="003F7299"/>
    <w:rsid w:val="0044542C"/>
    <w:rsid w:val="004D411E"/>
    <w:rsid w:val="005227FA"/>
    <w:rsid w:val="005E0BFB"/>
    <w:rsid w:val="00687A6A"/>
    <w:rsid w:val="006E2B2C"/>
    <w:rsid w:val="006F281C"/>
    <w:rsid w:val="007D5404"/>
    <w:rsid w:val="00A4482E"/>
    <w:rsid w:val="00C532A9"/>
    <w:rsid w:val="00C65A16"/>
    <w:rsid w:val="00D12568"/>
    <w:rsid w:val="00E0358D"/>
    <w:rsid w:val="00EB7FAE"/>
    <w:rsid w:val="00ED26F2"/>
    <w:rsid w:val="00F36268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5ECA"/>
  <w15:docId w15:val="{C685B5F9-72BA-42AD-B96B-139A0C6A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10">
    <w:name w:val="heading 1"/>
    <w:next w:val="a"/>
    <w:link w:val="11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C532A9"/>
    <w:rPr>
      <w:rFonts w:ascii="Arial" w:hAnsi="Arial" w:cs="Arial Unicode MS"/>
      <w:color w:val="000000"/>
      <w:sz w:val="40"/>
      <w:szCs w:val="40"/>
      <w:u w:color="000000"/>
    </w:rPr>
  </w:style>
  <w:style w:type="character" w:customStyle="1" w:styleId="70">
    <w:name w:val="Заголовок 7 Знак"/>
    <w:basedOn w:val="a0"/>
    <w:link w:val="7"/>
    <w:uiPriority w:val="9"/>
    <w:semiHidden/>
    <w:rsid w:val="00C532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</w:rPr>
  </w:style>
  <w:style w:type="paragraph" w:styleId="a6">
    <w:name w:val="Normal (Web)"/>
    <w:basedOn w:val="a"/>
    <w:uiPriority w:val="99"/>
    <w:unhideWhenUsed/>
    <w:rsid w:val="00C53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C7DA-2801-4C52-8498-44468871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Данильченко Дмитрий Владимирович</cp:lastModifiedBy>
  <cp:revision>10</cp:revision>
  <dcterms:created xsi:type="dcterms:W3CDTF">2022-03-18T12:26:00Z</dcterms:created>
  <dcterms:modified xsi:type="dcterms:W3CDTF">2023-12-06T12:47:00Z</dcterms:modified>
</cp:coreProperties>
</file>